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B1650" w14:textId="77777777" w:rsidR="00070998" w:rsidRPr="007648DD" w:rsidRDefault="00070998" w:rsidP="00070998">
      <w:pPr>
        <w:spacing w:after="0" w:line="240" w:lineRule="auto"/>
        <w:jc w:val="center"/>
        <w:rPr>
          <w:sz w:val="24"/>
        </w:rPr>
      </w:pPr>
      <w:bookmarkStart w:id="0" w:name="_GoBack"/>
      <w:bookmarkEnd w:id="0"/>
      <w:r>
        <w:rPr>
          <w:b/>
          <w:sz w:val="24"/>
        </w:rPr>
        <w:t>INDONESIA</w:t>
      </w:r>
      <w:r w:rsidRPr="007648DD">
        <w:rPr>
          <w:b/>
          <w:sz w:val="24"/>
        </w:rPr>
        <w:t xml:space="preserve">: </w:t>
      </w:r>
      <w:r w:rsidRPr="00C74304">
        <w:rPr>
          <w:b/>
          <w:sz w:val="24"/>
        </w:rPr>
        <w:t>Advancing Indonesia’s Lighting Market to High Efficient Technologies (ADLIGHT)</w:t>
      </w:r>
    </w:p>
    <w:p w14:paraId="5E7A2823" w14:textId="53ACD4D3" w:rsidR="00070998" w:rsidRDefault="00070998" w:rsidP="00B74E79">
      <w:pPr>
        <w:spacing w:after="0" w:line="240" w:lineRule="auto"/>
        <w:jc w:val="center"/>
        <w:rPr>
          <w:b/>
          <w:sz w:val="24"/>
        </w:rPr>
      </w:pPr>
      <w:r w:rsidRPr="007648DD">
        <w:rPr>
          <w:b/>
          <w:sz w:val="24"/>
        </w:rPr>
        <w:t xml:space="preserve">Responses to GEFSec Comments </w:t>
      </w:r>
      <w:r>
        <w:rPr>
          <w:b/>
          <w:sz w:val="24"/>
        </w:rPr>
        <w:t>15 July 2019</w:t>
      </w:r>
    </w:p>
    <w:p w14:paraId="286D9718" w14:textId="77777777" w:rsidR="008F5446" w:rsidRPr="007648DD" w:rsidRDefault="008F5446" w:rsidP="00B74E79">
      <w:pPr>
        <w:spacing w:after="0" w:line="240" w:lineRule="auto"/>
        <w:jc w:val="center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95"/>
        <w:gridCol w:w="1335"/>
      </w:tblGrid>
      <w:tr w:rsidR="00070998" w:rsidRPr="007648DD" w14:paraId="485C19E0" w14:textId="77777777" w:rsidTr="000A51FC">
        <w:tc>
          <w:tcPr>
            <w:tcW w:w="7995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0F62B157" w14:textId="77777777" w:rsidR="00070998" w:rsidRPr="007648DD" w:rsidRDefault="00070998" w:rsidP="000A51FC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Comments &amp; Responses</w:t>
            </w:r>
          </w:p>
        </w:tc>
        <w:tc>
          <w:tcPr>
            <w:tcW w:w="1335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583A1C4A" w14:textId="77777777" w:rsidR="00070998" w:rsidRPr="007648DD" w:rsidRDefault="00070998" w:rsidP="000A51FC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Reference</w:t>
            </w:r>
          </w:p>
        </w:tc>
      </w:tr>
      <w:tr w:rsidR="00070998" w:rsidRPr="007648DD" w14:paraId="53EEF748" w14:textId="77777777" w:rsidTr="000A51FC">
        <w:tc>
          <w:tcPr>
            <w:tcW w:w="9330" w:type="dxa"/>
            <w:gridSpan w:val="2"/>
            <w:tcBorders>
              <w:top w:val="single" w:sz="12" w:space="0" w:color="FFC000"/>
            </w:tcBorders>
          </w:tcPr>
          <w:p w14:paraId="751FC80A" w14:textId="77777777" w:rsidR="006F3FE6" w:rsidRDefault="006F3FE6" w:rsidP="000A51FC">
            <w:pPr>
              <w:spacing w:after="0" w:line="240" w:lineRule="auto"/>
              <w:rPr>
                <w:b/>
              </w:rPr>
            </w:pPr>
          </w:p>
          <w:p w14:paraId="78B36268" w14:textId="77777777" w:rsidR="000B655C" w:rsidRDefault="000B655C" w:rsidP="000B655C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1-      On the executing arrangements: our comments made in July requested a clarification regarding the Executing functions (see screenshot below).</w:t>
            </w:r>
          </w:p>
          <w:p w14:paraId="14D32FFD" w14:textId="77777777" w:rsidR="000B655C" w:rsidRDefault="000B655C" w:rsidP="000B655C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 </w:t>
            </w:r>
            <w:r>
              <w:rPr>
                <w:noProof/>
              </w:rPr>
              <w:drawing>
                <wp:inline distT="0" distB="0" distL="0" distR="0" wp14:anchorId="5D23EDDD" wp14:editId="46691AA4">
                  <wp:extent cx="4638675" cy="904875"/>
                  <wp:effectExtent l="0" t="0" r="9525" b="9525"/>
                  <wp:docPr id="6" name="Picture 6" descr="F69EA31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69EA31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86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19259A" w14:textId="77B78DEB" w:rsidR="000B655C" w:rsidRDefault="000B655C" w:rsidP="000B655C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However in the ProDoc both –UNEP and UNDP— intend to carry out one executing activity which is “managing the funds” (see screenshot below)</w:t>
            </w:r>
          </w:p>
          <w:p w14:paraId="39D92FA3" w14:textId="77777777" w:rsidR="000B655C" w:rsidRDefault="000B655C" w:rsidP="000B655C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 </w:t>
            </w:r>
            <w:r>
              <w:rPr>
                <w:noProof/>
              </w:rPr>
              <w:drawing>
                <wp:inline distT="0" distB="0" distL="0" distR="0" wp14:anchorId="492FD9DF" wp14:editId="4BC6271D">
                  <wp:extent cx="4648200" cy="1762125"/>
                  <wp:effectExtent l="0" t="0" r="0" b="9525"/>
                  <wp:docPr id="5" name="Picture 5" descr="493A3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93A39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597BCC" w14:textId="5F4A24E9" w:rsidR="006F3FE6" w:rsidRPr="006F3FE6" w:rsidRDefault="006F3FE6" w:rsidP="00B85069">
            <w:pPr>
              <w:shd w:val="clear" w:color="auto" w:fill="EEEEEE"/>
              <w:spacing w:after="100" w:afterAutospacing="1" w:line="240" w:lineRule="auto"/>
              <w:rPr>
                <w:b/>
              </w:rPr>
            </w:pPr>
          </w:p>
        </w:tc>
      </w:tr>
      <w:tr w:rsidR="00070998" w:rsidRPr="007648DD" w14:paraId="46F149E0" w14:textId="77777777" w:rsidTr="000A51FC">
        <w:tc>
          <w:tcPr>
            <w:tcW w:w="7995" w:type="dxa"/>
          </w:tcPr>
          <w:p w14:paraId="6DBBD074" w14:textId="77777777" w:rsidR="00070998" w:rsidRPr="007648DD" w:rsidRDefault="00070998" w:rsidP="00B74E79">
            <w:pPr>
              <w:spacing w:after="0" w:line="240" w:lineRule="auto"/>
            </w:pPr>
          </w:p>
          <w:p w14:paraId="5938D8F1" w14:textId="77777777" w:rsidR="00070998" w:rsidRPr="007648DD" w:rsidRDefault="00070998" w:rsidP="00B74E79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2E7A8BB2" w14:textId="08254288" w:rsidR="00D475D0" w:rsidRPr="005225A1" w:rsidRDefault="00DA3ECE" w:rsidP="005225A1">
            <w:r>
              <w:t xml:space="preserve">As stated in the GEF Guidelines on the Project and Program Cycle Policy, </w:t>
            </w:r>
            <w:r w:rsidR="007837E7">
              <w:t xml:space="preserve">the project executing entity (EA) receives the </w:t>
            </w:r>
            <w:r w:rsidR="00196801">
              <w:t>project specific</w:t>
            </w:r>
            <w:r w:rsidR="007837E7">
              <w:t xml:space="preserve"> GEF funding from a GEF Agency</w:t>
            </w:r>
            <w:r w:rsidR="001350CE">
              <w:t xml:space="preserve">. One of the responsibilities of the GEF Agency is therefore to foresee </w:t>
            </w:r>
            <w:r w:rsidR="00721F1C">
              <w:t xml:space="preserve">in the transfer of </w:t>
            </w:r>
            <w:r w:rsidR="001350CE">
              <w:t xml:space="preserve">GEF funding </w:t>
            </w:r>
            <w:r w:rsidR="00721F1C">
              <w:t>to the EA</w:t>
            </w:r>
            <w:r w:rsidR="0008402D">
              <w:t xml:space="preserve"> on a quarterly basis</w:t>
            </w:r>
            <w:r w:rsidR="00721F1C">
              <w:t xml:space="preserve">. </w:t>
            </w:r>
            <w:r w:rsidR="00021CD1">
              <w:t xml:space="preserve">Funds are channeled </w:t>
            </w:r>
            <w:r w:rsidR="003C623E">
              <w:t>through NIM quarterly Financial Advances against EA financial reports for the previous/completed quarter (FACE reports)</w:t>
            </w:r>
            <w:r w:rsidR="004658A3">
              <w:t>.</w:t>
            </w:r>
          </w:p>
          <w:p w14:paraId="54567D7C" w14:textId="03CBC8D7" w:rsidR="00070998" w:rsidRPr="005225A1" w:rsidRDefault="004658A3" w:rsidP="005225A1">
            <w:r>
              <w:t>The</w:t>
            </w:r>
            <w:r w:rsidR="0015455E" w:rsidRPr="005225A1">
              <w:t xml:space="preserve"> oversight role</w:t>
            </w:r>
            <w:r>
              <w:t xml:space="preserve"> of </w:t>
            </w:r>
            <w:r w:rsidR="00057CBC">
              <w:t>channeling</w:t>
            </w:r>
            <w:r>
              <w:t xml:space="preserve"> funds through</w:t>
            </w:r>
            <w:r w:rsidR="0015455E" w:rsidRPr="005225A1">
              <w:t xml:space="preserve"> advance</w:t>
            </w:r>
            <w:r>
              <w:t>ment of</w:t>
            </w:r>
            <w:r w:rsidR="0015455E" w:rsidRPr="005225A1">
              <w:t xml:space="preserve"> the funds on a quarterly basis</w:t>
            </w:r>
            <w:r>
              <w:t xml:space="preserve"> following the</w:t>
            </w:r>
            <w:r w:rsidR="0015455E" w:rsidRPr="005225A1">
              <w:t xml:space="preserve"> NIM modality</w:t>
            </w:r>
            <w:r>
              <w:t xml:space="preserve">, has been </w:t>
            </w:r>
            <w:r w:rsidR="001E7760">
              <w:t>explained in a footnote, added to the section referred to above (ProDoc page 77).</w:t>
            </w:r>
            <w:r w:rsidR="00C7496A">
              <w:t xml:space="preserve"> In o</w:t>
            </w:r>
            <w:r w:rsidR="00F32311">
              <w:t>r</w:t>
            </w:r>
            <w:r w:rsidR="00C7496A">
              <w:t xml:space="preserve">der </w:t>
            </w:r>
            <w:r w:rsidR="00F32311">
              <w:t>to avoid any confusion, the word “</w:t>
            </w:r>
            <w:r w:rsidR="009774C8">
              <w:t>m</w:t>
            </w:r>
            <w:r w:rsidR="00F32311">
              <w:t xml:space="preserve">anaging” </w:t>
            </w:r>
            <w:r w:rsidR="009774C8">
              <w:t>has been replaced by “channeling” in the ProDoc page 77.</w:t>
            </w:r>
          </w:p>
          <w:p w14:paraId="1518E7B3" w14:textId="77777777" w:rsidR="00070998" w:rsidRPr="007648DD" w:rsidRDefault="00070998" w:rsidP="00B74E79">
            <w:pPr>
              <w:spacing w:after="0"/>
            </w:pPr>
          </w:p>
        </w:tc>
        <w:tc>
          <w:tcPr>
            <w:tcW w:w="1335" w:type="dxa"/>
          </w:tcPr>
          <w:p w14:paraId="777D75D9" w14:textId="4FD8EFC7" w:rsidR="00070998" w:rsidRDefault="00070998" w:rsidP="000A51FC">
            <w:pPr>
              <w:spacing w:after="0" w:line="240" w:lineRule="auto"/>
              <w:rPr>
                <w:highlight w:val="yellow"/>
              </w:rPr>
            </w:pPr>
          </w:p>
          <w:p w14:paraId="50737B63" w14:textId="5FDF9D33" w:rsidR="001E7760" w:rsidRDefault="001E7760" w:rsidP="000A51FC">
            <w:pPr>
              <w:spacing w:after="0" w:line="240" w:lineRule="auto"/>
              <w:rPr>
                <w:highlight w:val="yellow"/>
              </w:rPr>
            </w:pPr>
          </w:p>
          <w:p w14:paraId="209E96E1" w14:textId="5732E49F" w:rsidR="001E7760" w:rsidRPr="00154A57" w:rsidRDefault="001E7760" w:rsidP="000A51FC">
            <w:pPr>
              <w:spacing w:after="0" w:line="240" w:lineRule="auto"/>
            </w:pPr>
            <w:r w:rsidRPr="00154A57">
              <w:t xml:space="preserve">ProDoc page </w:t>
            </w:r>
            <w:r w:rsidR="00154A57" w:rsidRPr="00154A57">
              <w:t>77, footnote added for additional clarification</w:t>
            </w:r>
          </w:p>
          <w:p w14:paraId="57432BB9" w14:textId="7BF70EA1" w:rsidR="00070998" w:rsidRPr="007648DD" w:rsidRDefault="00070998" w:rsidP="000A51FC">
            <w:pPr>
              <w:spacing w:after="0" w:line="240" w:lineRule="auto"/>
            </w:pPr>
          </w:p>
        </w:tc>
      </w:tr>
      <w:tr w:rsidR="00070998" w:rsidRPr="007648DD" w14:paraId="1941ADFE" w14:textId="77777777" w:rsidTr="00085222">
        <w:tc>
          <w:tcPr>
            <w:tcW w:w="9330" w:type="dxa"/>
            <w:gridSpan w:val="2"/>
          </w:tcPr>
          <w:p w14:paraId="727F41A6" w14:textId="77777777" w:rsidR="0015455E" w:rsidRDefault="0015455E" w:rsidP="0015455E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</w:p>
          <w:p w14:paraId="5250551C" w14:textId="63D4A5AB" w:rsidR="0015455E" w:rsidRPr="0015455E" w:rsidRDefault="0015455E" w:rsidP="0015455E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15455E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lastRenderedPageBreak/>
              <w:t>Also the Agencies intend to carry out the executing function of committing or acquiring supplier resources required (see screenshot below)</w:t>
            </w:r>
          </w:p>
          <w:p w14:paraId="6EDE061C" w14:textId="77777777" w:rsidR="0015455E" w:rsidRDefault="0015455E" w:rsidP="0015455E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 </w:t>
            </w:r>
            <w:r>
              <w:rPr>
                <w:noProof/>
              </w:rPr>
              <w:drawing>
                <wp:inline distT="0" distB="0" distL="0" distR="0" wp14:anchorId="569D5270" wp14:editId="6C706CAD">
                  <wp:extent cx="4610100" cy="904875"/>
                  <wp:effectExtent l="0" t="0" r="0" b="9525"/>
                  <wp:docPr id="4" name="Picture 4" descr="CC4D2A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C4D2AD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60A909" w14:textId="50C9DCB9" w:rsidR="00070998" w:rsidRDefault="00070998" w:rsidP="0015455E">
            <w:pPr>
              <w:spacing w:after="0" w:line="240" w:lineRule="auto"/>
              <w:rPr>
                <w:highlight w:val="yellow"/>
              </w:rPr>
            </w:pPr>
          </w:p>
        </w:tc>
      </w:tr>
      <w:tr w:rsidR="00070998" w:rsidRPr="007648DD" w14:paraId="056A8F5C" w14:textId="77777777" w:rsidTr="000A51FC">
        <w:tc>
          <w:tcPr>
            <w:tcW w:w="7995" w:type="dxa"/>
          </w:tcPr>
          <w:p w14:paraId="45DE3259" w14:textId="4894BF97" w:rsidR="00BA55D6" w:rsidRPr="00BA55D6" w:rsidRDefault="00BA55D6" w:rsidP="00867EB0">
            <w:pPr>
              <w:spacing w:after="0"/>
            </w:pPr>
          </w:p>
          <w:p w14:paraId="3B0C6B11" w14:textId="760039D2" w:rsidR="00BA55D6" w:rsidRPr="00BA55D6" w:rsidRDefault="00867EB0" w:rsidP="00867EB0">
            <w:pPr>
              <w:spacing w:after="0"/>
            </w:pPr>
            <w:r w:rsidRPr="00867EB0">
              <w:rPr>
                <w:b/>
                <w:bCs/>
                <w:u w:val="single"/>
              </w:rPr>
              <w:t>R</w:t>
            </w:r>
            <w:r w:rsidR="00BA55D6" w:rsidRPr="00867EB0">
              <w:rPr>
                <w:b/>
                <w:bCs/>
                <w:u w:val="single"/>
              </w:rPr>
              <w:t>esponse:</w:t>
            </w:r>
          </w:p>
          <w:p w14:paraId="651FC8FE" w14:textId="10048D9C" w:rsidR="0015455E" w:rsidRPr="009774C8" w:rsidRDefault="009E116E" w:rsidP="009774C8">
            <w:r>
              <w:t xml:space="preserve">The section on composition of the Project Board has been revised and is now following the </w:t>
            </w:r>
            <w:r w:rsidR="0008333B">
              <w:t xml:space="preserve">new arrangements as </w:t>
            </w:r>
            <w:r w:rsidR="0043515E">
              <w:t>discussed</w:t>
            </w:r>
            <w:r w:rsidR="0008333B">
              <w:t xml:space="preserve"> between the GEF Secretariat and UNDP</w:t>
            </w:r>
            <w:r w:rsidR="00FC4D5A">
              <w:t xml:space="preserve"> in 2019</w:t>
            </w:r>
            <w:r w:rsidR="003E3637">
              <w:t xml:space="preserve"> in which it was agreed that UNDP would not take on the role of Senior Supplier</w:t>
            </w:r>
            <w:r w:rsidR="0008333B">
              <w:t xml:space="preserve">. </w:t>
            </w:r>
            <w:r w:rsidR="00012011">
              <w:t xml:space="preserve">Please see revised text and Project Board structure in the ProDoc on page 77 and 78 </w:t>
            </w:r>
            <w:r w:rsidR="00FC4D5A">
              <w:t>(t</w:t>
            </w:r>
            <w:r w:rsidR="0008333B">
              <w:t>his project was developed in 2017/2018 and was not yet updated</w:t>
            </w:r>
            <w:r w:rsidR="00FC4D5A">
              <w:t>).</w:t>
            </w:r>
            <w:r w:rsidR="00E2062C">
              <w:t xml:space="preserve"> </w:t>
            </w:r>
          </w:p>
          <w:p w14:paraId="07BC9616" w14:textId="070592F6" w:rsidR="0015455E" w:rsidRPr="007648DD" w:rsidRDefault="0015455E" w:rsidP="000A51FC">
            <w:pPr>
              <w:spacing w:after="0" w:line="240" w:lineRule="auto"/>
            </w:pPr>
          </w:p>
        </w:tc>
        <w:tc>
          <w:tcPr>
            <w:tcW w:w="1335" w:type="dxa"/>
          </w:tcPr>
          <w:p w14:paraId="1F7B5598" w14:textId="77777777" w:rsidR="00070998" w:rsidRDefault="00070998" w:rsidP="000A51FC">
            <w:pPr>
              <w:spacing w:after="0" w:line="240" w:lineRule="auto"/>
              <w:rPr>
                <w:highlight w:val="yellow"/>
              </w:rPr>
            </w:pPr>
          </w:p>
          <w:p w14:paraId="6F1BE689" w14:textId="77777777" w:rsidR="00CB0D63" w:rsidRDefault="00CB0D63" w:rsidP="000A51FC">
            <w:pPr>
              <w:spacing w:after="0" w:line="240" w:lineRule="auto"/>
              <w:rPr>
                <w:highlight w:val="yellow"/>
              </w:rPr>
            </w:pPr>
          </w:p>
          <w:p w14:paraId="68D66EEE" w14:textId="1727E747" w:rsidR="00CB0D63" w:rsidRDefault="00CB0D63" w:rsidP="000A51FC">
            <w:pPr>
              <w:spacing w:after="0" w:line="240" w:lineRule="auto"/>
              <w:rPr>
                <w:highlight w:val="yellow"/>
              </w:rPr>
            </w:pPr>
            <w:r w:rsidRPr="00CB0D63">
              <w:t>ProDoc page 7</w:t>
            </w:r>
            <w:r w:rsidR="00012011">
              <w:t>7/78</w:t>
            </w:r>
          </w:p>
        </w:tc>
      </w:tr>
      <w:tr w:rsidR="006F3FE6" w:rsidRPr="007648DD" w14:paraId="06680E9F" w14:textId="77777777" w:rsidTr="00CA7BD9">
        <w:tc>
          <w:tcPr>
            <w:tcW w:w="9330" w:type="dxa"/>
            <w:gridSpan w:val="2"/>
          </w:tcPr>
          <w:p w14:paraId="7B552220" w14:textId="77777777" w:rsidR="006F3FE6" w:rsidRDefault="006F3FE6" w:rsidP="000A51FC">
            <w:pPr>
              <w:spacing w:after="0" w:line="240" w:lineRule="auto"/>
              <w:rPr>
                <w:highlight w:val="yellow"/>
              </w:rPr>
            </w:pPr>
          </w:p>
          <w:p w14:paraId="7378EB39" w14:textId="77777777" w:rsidR="00B85069" w:rsidRDefault="00B85069" w:rsidP="00B85069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Still the ProDoc mentions that the executing modality can consider UNDP providing project management cycle services if the Government of Indonesia request them (see screenshot below). </w:t>
            </w:r>
            <w:r w:rsidRPr="00AC586E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Please ask the Agency to remove any mention to the possibility of carrying out executing services currently in the ProDoc.</w:t>
            </w:r>
          </w:p>
          <w:p w14:paraId="6958BC87" w14:textId="77777777" w:rsidR="00B85069" w:rsidRDefault="00B85069" w:rsidP="00B85069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 </w:t>
            </w:r>
            <w:r>
              <w:rPr>
                <w:noProof/>
              </w:rPr>
              <w:drawing>
                <wp:inline distT="0" distB="0" distL="0" distR="0" wp14:anchorId="0C4587C6" wp14:editId="6276781E">
                  <wp:extent cx="4514850" cy="1800225"/>
                  <wp:effectExtent l="0" t="0" r="0" b="9525"/>
                  <wp:docPr id="3" name="Picture 3" descr="A75964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75964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9EA68B" w14:textId="0C0B1E43" w:rsidR="006F3FE6" w:rsidRDefault="006F3FE6" w:rsidP="000A51FC">
            <w:pPr>
              <w:spacing w:after="0" w:line="240" w:lineRule="auto"/>
              <w:rPr>
                <w:highlight w:val="yellow"/>
              </w:rPr>
            </w:pPr>
          </w:p>
        </w:tc>
      </w:tr>
      <w:tr w:rsidR="006F3FE6" w:rsidRPr="007648DD" w14:paraId="02DB7DCC" w14:textId="77777777" w:rsidTr="000A51FC">
        <w:tc>
          <w:tcPr>
            <w:tcW w:w="7995" w:type="dxa"/>
          </w:tcPr>
          <w:p w14:paraId="0A2AE675" w14:textId="77777777" w:rsidR="006F3FE6" w:rsidRDefault="006F3FE6" w:rsidP="00867EB0">
            <w:pPr>
              <w:spacing w:after="0"/>
            </w:pPr>
          </w:p>
          <w:p w14:paraId="27BF5A68" w14:textId="77777777" w:rsidR="009867E2" w:rsidRDefault="00A30310" w:rsidP="00B74E79">
            <w:pPr>
              <w:spacing w:after="0"/>
            </w:pPr>
            <w:r w:rsidRPr="00A30310">
              <w:rPr>
                <w:b/>
                <w:bCs/>
                <w:u w:val="single"/>
              </w:rPr>
              <w:t>Response:</w:t>
            </w:r>
            <w:r w:rsidRPr="009A2093">
              <w:t xml:space="preserve"> </w:t>
            </w:r>
          </w:p>
          <w:p w14:paraId="5AF6CAC1" w14:textId="381B1437" w:rsidR="00B85069" w:rsidRPr="00BA55D6" w:rsidRDefault="00D14D93" w:rsidP="006720BD">
            <w:r>
              <w:t>Th</w:t>
            </w:r>
            <w:r w:rsidR="006720BD">
              <w:t>e</w:t>
            </w:r>
            <w:r>
              <w:t xml:space="preserve"> section</w:t>
            </w:r>
            <w:r w:rsidR="006720BD">
              <w:t xml:space="preserve"> on UNDP Direct Project Services has been removed from the Project Document </w:t>
            </w:r>
            <w:r w:rsidR="00911C77">
              <w:t xml:space="preserve">(page 84) </w:t>
            </w:r>
            <w:r w:rsidR="006720BD">
              <w:t xml:space="preserve">since all Direct project Costs were removed from the project budget. </w:t>
            </w:r>
          </w:p>
        </w:tc>
        <w:tc>
          <w:tcPr>
            <w:tcW w:w="1335" w:type="dxa"/>
          </w:tcPr>
          <w:p w14:paraId="18BAE2B4" w14:textId="0456768D" w:rsidR="006F3FE6" w:rsidRDefault="006F3FE6" w:rsidP="000A51FC">
            <w:pPr>
              <w:spacing w:after="0" w:line="240" w:lineRule="auto"/>
            </w:pPr>
          </w:p>
          <w:p w14:paraId="040EC2F7" w14:textId="60DC63E2" w:rsidR="00A81FD9" w:rsidRPr="00216BEA" w:rsidRDefault="00A81FD9" w:rsidP="000A51FC">
            <w:pPr>
              <w:spacing w:after="0" w:line="240" w:lineRule="auto"/>
            </w:pPr>
            <w:r>
              <w:t>ProDoc page 84</w:t>
            </w:r>
          </w:p>
          <w:p w14:paraId="48CD30F2" w14:textId="23B548AB" w:rsidR="00216BEA" w:rsidRDefault="00216BEA" w:rsidP="000A51FC">
            <w:pPr>
              <w:spacing w:after="0" w:line="240" w:lineRule="auto"/>
              <w:rPr>
                <w:highlight w:val="yellow"/>
              </w:rPr>
            </w:pPr>
          </w:p>
        </w:tc>
      </w:tr>
      <w:tr w:rsidR="00B85069" w:rsidRPr="007648DD" w14:paraId="49172139" w14:textId="77777777" w:rsidTr="006057F5">
        <w:tc>
          <w:tcPr>
            <w:tcW w:w="9330" w:type="dxa"/>
            <w:gridSpan w:val="2"/>
          </w:tcPr>
          <w:p w14:paraId="73A932A4" w14:textId="77777777" w:rsidR="00B85069" w:rsidRDefault="00B85069" w:rsidP="000A51FC">
            <w:pPr>
              <w:spacing w:after="0" w:line="240" w:lineRule="auto"/>
            </w:pPr>
          </w:p>
          <w:p w14:paraId="2C13D9F0" w14:textId="77777777" w:rsidR="00B85069" w:rsidRDefault="00B85069" w:rsidP="00B85069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While not mentioned in the previous review, it is hard to understand how a 3.8 million dollar project has a National Project Director </w:t>
            </w:r>
            <w:r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</w:rPr>
              <w:t>and</w:t>
            </w: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 a Project Manager, both with similar functions (see screenshots below)</w:t>
            </w:r>
          </w:p>
          <w:p w14:paraId="32E608E3" w14:textId="77777777" w:rsidR="00B85069" w:rsidRDefault="00B85069" w:rsidP="00B85069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 </w:t>
            </w:r>
            <w:r>
              <w:rPr>
                <w:noProof/>
              </w:rPr>
              <w:drawing>
                <wp:inline distT="0" distB="0" distL="0" distR="0" wp14:anchorId="3327298B" wp14:editId="007184A7">
                  <wp:extent cx="4581525" cy="542925"/>
                  <wp:effectExtent l="0" t="0" r="9525" b="9525"/>
                  <wp:docPr id="7" name="Picture 7" descr="147EB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47EB0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1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EFCA0D" w14:textId="77777777" w:rsidR="00B85069" w:rsidRPr="000B655C" w:rsidRDefault="00B85069" w:rsidP="00B85069">
            <w:pPr>
              <w:shd w:val="clear" w:color="auto" w:fill="EEEEEE"/>
              <w:spacing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DFAB544" wp14:editId="3608A6D4">
                  <wp:extent cx="4600575" cy="876300"/>
                  <wp:effectExtent l="0" t="0" r="9525" b="0"/>
                  <wp:docPr id="8" name="Picture 8" descr="732313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7323137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057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B0075C" w14:textId="3D08A188" w:rsidR="00B85069" w:rsidRPr="00216BEA" w:rsidRDefault="00B85069" w:rsidP="000A51FC">
            <w:pPr>
              <w:spacing w:after="0" w:line="240" w:lineRule="auto"/>
            </w:pPr>
          </w:p>
        </w:tc>
      </w:tr>
      <w:tr w:rsidR="00B85069" w:rsidRPr="007648DD" w14:paraId="671FF7A0" w14:textId="77777777" w:rsidTr="000A51FC">
        <w:tc>
          <w:tcPr>
            <w:tcW w:w="7995" w:type="dxa"/>
          </w:tcPr>
          <w:p w14:paraId="502F0599" w14:textId="77777777" w:rsidR="00B85069" w:rsidRDefault="00B85069" w:rsidP="00867EB0">
            <w:pPr>
              <w:spacing w:after="0"/>
            </w:pPr>
          </w:p>
          <w:p w14:paraId="31166CCF" w14:textId="41CF73F3" w:rsidR="00B85069" w:rsidRPr="00B85069" w:rsidRDefault="00B85069" w:rsidP="00867EB0">
            <w:pPr>
              <w:spacing w:after="0"/>
              <w:rPr>
                <w:b/>
                <w:bCs/>
              </w:rPr>
            </w:pPr>
            <w:r w:rsidRPr="00B85069">
              <w:rPr>
                <w:b/>
                <w:bCs/>
              </w:rPr>
              <w:t>Response:</w:t>
            </w:r>
          </w:p>
          <w:p w14:paraId="6C0858E1" w14:textId="257CE5FD" w:rsidR="00B85069" w:rsidRDefault="005D2204" w:rsidP="002967D7">
            <w:r w:rsidRPr="002967D7">
              <w:t xml:space="preserve">Text </w:t>
            </w:r>
            <w:r w:rsidR="002967D7">
              <w:t xml:space="preserve">was </w:t>
            </w:r>
            <w:r w:rsidRPr="002967D7">
              <w:t>added under Chapter 8 to explain that</w:t>
            </w:r>
            <w:r w:rsidR="00D57253">
              <w:t>,</w:t>
            </w:r>
            <w:r w:rsidR="00B85069" w:rsidRPr="002967D7">
              <w:t xml:space="preserve"> </w:t>
            </w:r>
            <w:r w:rsidR="001F7440">
              <w:t xml:space="preserve">using the established practice under NIM, </w:t>
            </w:r>
            <w:r w:rsidR="00B85069" w:rsidRPr="002967D7">
              <w:t xml:space="preserve">the Government will designate a National Project Director (NPD) who will be nominated by MEMR. The NPD will provide up to 50% of his/her time, and be responsible for the overall direction, strategic guidance, and timely delivery of project outputs. This position is not remunerated by GEF resources but </w:t>
            </w:r>
            <w:r w:rsidR="0050392D">
              <w:t>is a</w:t>
            </w:r>
            <w:r w:rsidR="00B85069" w:rsidRPr="002967D7">
              <w:t xml:space="preserve"> Government financed position. MEMR will recruit a Project Manager (PM), paid for by the project, who will be responsible for day-to-day operations and the management of a team of professionals and technical staff. </w:t>
            </w:r>
          </w:p>
          <w:p w14:paraId="0F39D0AB" w14:textId="3806DC68" w:rsidR="00E86A6C" w:rsidRDefault="00E86A6C" w:rsidP="002967D7"/>
          <w:p w14:paraId="4EA005B9" w14:textId="493EEF5D" w:rsidR="00B85069" w:rsidRDefault="00E86A6C" w:rsidP="00FC5C2B">
            <w:r>
              <w:t xml:space="preserve">As explained in the functional descriptions of the National Project Director and the Project Manager, the first will </w:t>
            </w:r>
            <w:r w:rsidR="00B02BE5">
              <w:t xml:space="preserve">be </w:t>
            </w:r>
            <w:r w:rsidR="007F3268">
              <w:t xml:space="preserve">the </w:t>
            </w:r>
            <w:r w:rsidR="00B02BE5">
              <w:t xml:space="preserve">government representative and </w:t>
            </w:r>
            <w:r w:rsidR="007F3268" w:rsidRPr="007E081C">
              <w:t xml:space="preserve">the primary project advocate </w:t>
            </w:r>
            <w:r w:rsidR="007F3268">
              <w:t xml:space="preserve">who will </w:t>
            </w:r>
            <w:r w:rsidR="00B02BE5">
              <w:t>have</w:t>
            </w:r>
            <w:r>
              <w:t xml:space="preserve"> the overall </w:t>
            </w:r>
            <w:r w:rsidR="00D4528E">
              <w:t xml:space="preserve">responsibility </w:t>
            </w:r>
            <w:r w:rsidR="003B12B4">
              <w:t>over the project</w:t>
            </w:r>
            <w:r w:rsidR="00F7679F">
              <w:t>. The Project Manager</w:t>
            </w:r>
            <w:r w:rsidR="00037864">
              <w:t xml:space="preserve">, recruited for the </w:t>
            </w:r>
            <w:r w:rsidR="00247083">
              <w:t xml:space="preserve">duration of the </w:t>
            </w:r>
            <w:r w:rsidR="00037864">
              <w:t>project</w:t>
            </w:r>
            <w:r w:rsidR="00B02BE5">
              <w:t>,</w:t>
            </w:r>
            <w:r w:rsidR="00F7679F">
              <w:t xml:space="preserve"> </w:t>
            </w:r>
            <w:r w:rsidR="009652FE">
              <w:t>will be responsible for the day-to-day operations of the project</w:t>
            </w:r>
            <w:r w:rsidR="00A81FD9">
              <w:t xml:space="preserve"> with the </w:t>
            </w:r>
            <w:r w:rsidR="00A81FD9" w:rsidRPr="007E081C">
              <w:t>responsibility to ensure that the project produces the results specified in the project document, to the required standard of quality and within the specified constraints of time and cost</w:t>
            </w:r>
            <w:r w:rsidR="00A81FD9">
              <w:t>.</w:t>
            </w:r>
          </w:p>
          <w:p w14:paraId="17626884" w14:textId="36F6B1F9" w:rsidR="00B85069" w:rsidRDefault="00B85069" w:rsidP="00867EB0">
            <w:pPr>
              <w:spacing w:after="0"/>
            </w:pPr>
          </w:p>
        </w:tc>
        <w:tc>
          <w:tcPr>
            <w:tcW w:w="1335" w:type="dxa"/>
          </w:tcPr>
          <w:p w14:paraId="4FA7AD3A" w14:textId="77777777" w:rsidR="00B85069" w:rsidRDefault="00B85069" w:rsidP="000A51FC">
            <w:pPr>
              <w:spacing w:after="0" w:line="240" w:lineRule="auto"/>
            </w:pPr>
          </w:p>
          <w:p w14:paraId="35505D81" w14:textId="01390A8D" w:rsidR="00A81FD9" w:rsidRPr="00216BEA" w:rsidRDefault="00A81FD9" w:rsidP="000A51FC">
            <w:pPr>
              <w:spacing w:after="0" w:line="240" w:lineRule="auto"/>
            </w:pPr>
            <w:r>
              <w:t>ProDoc page 81</w:t>
            </w:r>
          </w:p>
        </w:tc>
      </w:tr>
    </w:tbl>
    <w:p w14:paraId="41592586" w14:textId="77777777" w:rsidR="00F30F8E" w:rsidRDefault="00F30F8E" w:rsidP="00EF746B"/>
    <w:sectPr w:rsidR="00F30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E325CA"/>
    <w:multiLevelType w:val="hybridMultilevel"/>
    <w:tmpl w:val="06065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8F531C"/>
    <w:multiLevelType w:val="hybridMultilevel"/>
    <w:tmpl w:val="06065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7F3524"/>
    <w:multiLevelType w:val="hybridMultilevel"/>
    <w:tmpl w:val="ECD06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998"/>
    <w:rsid w:val="00012011"/>
    <w:rsid w:val="00021CD1"/>
    <w:rsid w:val="0003181D"/>
    <w:rsid w:val="00037864"/>
    <w:rsid w:val="00057CBC"/>
    <w:rsid w:val="00070998"/>
    <w:rsid w:val="0008333B"/>
    <w:rsid w:val="0008402D"/>
    <w:rsid w:val="000A5288"/>
    <w:rsid w:val="000B655C"/>
    <w:rsid w:val="00115602"/>
    <w:rsid w:val="001350CE"/>
    <w:rsid w:val="0015455E"/>
    <w:rsid w:val="00154A57"/>
    <w:rsid w:val="00196801"/>
    <w:rsid w:val="001E5917"/>
    <w:rsid w:val="001E7760"/>
    <w:rsid w:val="001F7440"/>
    <w:rsid w:val="00216BEA"/>
    <w:rsid w:val="00247083"/>
    <w:rsid w:val="002967D7"/>
    <w:rsid w:val="00343BE2"/>
    <w:rsid w:val="003B12B4"/>
    <w:rsid w:val="003C623E"/>
    <w:rsid w:val="003E3637"/>
    <w:rsid w:val="003F323E"/>
    <w:rsid w:val="003F7E97"/>
    <w:rsid w:val="0043515E"/>
    <w:rsid w:val="004658A3"/>
    <w:rsid w:val="004A0BCC"/>
    <w:rsid w:val="005037F0"/>
    <w:rsid w:val="0050392D"/>
    <w:rsid w:val="00513563"/>
    <w:rsid w:val="005225A1"/>
    <w:rsid w:val="005D2204"/>
    <w:rsid w:val="005D4C84"/>
    <w:rsid w:val="006720BD"/>
    <w:rsid w:val="006A04A8"/>
    <w:rsid w:val="006D020B"/>
    <w:rsid w:val="006D5F39"/>
    <w:rsid w:val="006F3FE6"/>
    <w:rsid w:val="0071286B"/>
    <w:rsid w:val="00721F1C"/>
    <w:rsid w:val="007837E7"/>
    <w:rsid w:val="007D4F09"/>
    <w:rsid w:val="007E7717"/>
    <w:rsid w:val="007F3268"/>
    <w:rsid w:val="00811BB1"/>
    <w:rsid w:val="008357FE"/>
    <w:rsid w:val="00861905"/>
    <w:rsid w:val="00867EB0"/>
    <w:rsid w:val="008F434B"/>
    <w:rsid w:val="008F5446"/>
    <w:rsid w:val="008F5907"/>
    <w:rsid w:val="00911C77"/>
    <w:rsid w:val="00922CF5"/>
    <w:rsid w:val="009402C6"/>
    <w:rsid w:val="009652FE"/>
    <w:rsid w:val="009774C8"/>
    <w:rsid w:val="00977687"/>
    <w:rsid w:val="009867E2"/>
    <w:rsid w:val="009A2093"/>
    <w:rsid w:val="009E116E"/>
    <w:rsid w:val="00A30310"/>
    <w:rsid w:val="00A45766"/>
    <w:rsid w:val="00A81FD9"/>
    <w:rsid w:val="00AA3842"/>
    <w:rsid w:val="00AC70E4"/>
    <w:rsid w:val="00B02BE5"/>
    <w:rsid w:val="00B63364"/>
    <w:rsid w:val="00B74E79"/>
    <w:rsid w:val="00B85069"/>
    <w:rsid w:val="00BA55D6"/>
    <w:rsid w:val="00C32FAA"/>
    <w:rsid w:val="00C7496A"/>
    <w:rsid w:val="00C85E60"/>
    <w:rsid w:val="00CA7901"/>
    <w:rsid w:val="00CB0D63"/>
    <w:rsid w:val="00CB2FBE"/>
    <w:rsid w:val="00CC7E60"/>
    <w:rsid w:val="00D14D93"/>
    <w:rsid w:val="00D4528E"/>
    <w:rsid w:val="00D475D0"/>
    <w:rsid w:val="00D57253"/>
    <w:rsid w:val="00DA3ECE"/>
    <w:rsid w:val="00E2062C"/>
    <w:rsid w:val="00E772A1"/>
    <w:rsid w:val="00E86A6C"/>
    <w:rsid w:val="00EA7DB1"/>
    <w:rsid w:val="00EF746B"/>
    <w:rsid w:val="00F30F8E"/>
    <w:rsid w:val="00F32311"/>
    <w:rsid w:val="00F7679F"/>
    <w:rsid w:val="00F86872"/>
    <w:rsid w:val="00FC4D5A"/>
    <w:rsid w:val="00FC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CA67C"/>
  <w15:chartTrackingRefBased/>
  <w15:docId w15:val="{05886581-62B2-46A8-A641-0A2B64761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099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3F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7D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DB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7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Indonesia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9493</GEFID>
    <ProjectType xmlns="ceb00776-aa5c-4fc8-b6fe-5f035152e4b6">FSP</ProjectType>
    <GEFProjectID xmlns="ceb00776-aa5c-4fc8-b6fe-5f035152e4b6">39d7ed57-df7c-e811-8124-3863bb2e1360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Advancing Indonesia’s Lighting Market to High Efficient Technologies (ADLIGHT)</ProjectTitle>
    <TrustFundType xmlns="ceb00776-aa5c-4fc8-b6fe-5f035152e4b6">GET</TrustFundType>
    <TaxCatchAll xmlns="3e02667f-0271-471b-bd6e-11a2e16def1d"/>
    <DocumentTitle xmlns="ceb00776-aa5c-4fc8-b6fe-5f035152e4b6">Response to Review Sheet 28Oct19-1</DocumentTitle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451E83-7303-4395-898C-8194F62F32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672546-FE53-4F3C-B4E5-41F9E3A3052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E179E15-BF58-4801-B781-390C4CB983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Milou Beerepoot</dc:creator>
  <cp:keywords/>
  <dc:description/>
  <cp:lastModifiedBy>Melissa Hernandez</cp:lastModifiedBy>
  <cp:revision>2</cp:revision>
  <dcterms:created xsi:type="dcterms:W3CDTF">2019-11-12T14:15:00Z</dcterms:created>
  <dcterms:modified xsi:type="dcterms:W3CDTF">2019-11-12T14:15:00Z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